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31B62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14:paraId="495E77AF" w14:textId="77777777" w:rsidR="00C261BC" w:rsidRDefault="00C261BC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</w:p>
    <w:p w14:paraId="482262CB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UCHWAŁA NR …………….</w:t>
      </w:r>
    </w:p>
    <w:p w14:paraId="6A34E700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RADY GMINY SZCZYTNO </w:t>
      </w:r>
    </w:p>
    <w:p w14:paraId="0A8EE25D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z dnia 28 lutego </w:t>
      </w:r>
      <w:bookmarkStart w:id="0" w:name="_Hlk90972743"/>
      <w:r>
        <w:rPr>
          <w:rFonts w:ascii="Times New Roman" w:hAnsi="Times New Roman" w:cs="Times New Roman"/>
          <w:b/>
        </w:rPr>
        <w:t>2025 roku</w:t>
      </w:r>
      <w:bookmarkEnd w:id="0"/>
    </w:p>
    <w:p w14:paraId="268ECAD3" w14:textId="77777777" w:rsidR="00C261BC" w:rsidRDefault="00C261BC">
      <w:pPr>
        <w:spacing w:beforeAutospacing="1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F07CD9A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w sprawie uchwalenia Programu Osłonowego </w:t>
      </w:r>
    </w:p>
    <w:p w14:paraId="79677BB0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„Korpus Wsparcia Seniorów” </w:t>
      </w:r>
      <w:r>
        <w:rPr>
          <w:rFonts w:ascii="Times New Roman" w:hAnsi="Times New Roman" w:cs="Times New Roman"/>
          <w:b/>
        </w:rPr>
        <w:t xml:space="preserve">dla Gminy Szczytno </w:t>
      </w:r>
      <w:r>
        <w:rPr>
          <w:rFonts w:ascii="Times New Roman" w:hAnsi="Times New Roman" w:cs="Times New Roman"/>
          <w:b/>
        </w:rPr>
        <w:br/>
        <w:t>na rok 2025</w:t>
      </w:r>
    </w:p>
    <w:p w14:paraId="1200FA9D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4A9B0D43" w14:textId="77777777" w:rsidR="00C261BC" w:rsidRDefault="002C54CD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Na podstawie art. 18 ust. 2 pkt. 15 ustawy z dnia 8 marca 1990r. o samorządzie gminnym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</w:rPr>
        <w:t>(t. j. Dz. U.  2024 r., poz. 1465 z późn. zm</w:t>
      </w:r>
      <w:r>
        <w:rPr>
          <w:rFonts w:ascii="Times New Roman" w:hAnsi="Times New Roman" w:cs="Times New Roman"/>
        </w:rPr>
        <w:t xml:space="preserve">.) </w:t>
      </w:r>
      <w:r>
        <w:rPr>
          <w:rFonts w:ascii="Times New Roman" w:hAnsi="Times New Roman"/>
        </w:rPr>
        <w:t xml:space="preserve"> w związku z art. 17 ust. 2 pkt 4 ustawy z dnia 12 marca 2004 r. o pomocy społecznej (t. j. Dz. U. z 2024 r. poz. 1283 z późn. zm.) oraz Programem Ministerstwa Rodziny, Pracy i Polityki Społecznej „Korpus Wsparcia Seniorów” na rok 2025, </w:t>
      </w:r>
    </w:p>
    <w:p w14:paraId="39588DF8" w14:textId="77777777" w:rsidR="00C261BC" w:rsidRDefault="002C54CD">
      <w:pPr>
        <w:spacing w:beforeAutospacing="1" w:afterAutospacing="1" w:line="360" w:lineRule="auto"/>
        <w:contextualSpacing/>
        <w:jc w:val="both"/>
      </w:pPr>
      <w:r>
        <w:rPr>
          <w:rFonts w:ascii="Times New Roman" w:hAnsi="Times New Roman" w:cs="Times New Roman"/>
        </w:rPr>
        <w:t>Rada Gminy uchwala, co następuje:</w:t>
      </w:r>
    </w:p>
    <w:p w14:paraId="154B39A4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1EEF431" w14:textId="77777777" w:rsidR="00C261BC" w:rsidRDefault="002C54CD">
      <w:pPr>
        <w:tabs>
          <w:tab w:val="left" w:pos="426"/>
        </w:tabs>
        <w:spacing w:beforeAutospacing="1" w:afterAutospacing="1" w:line="360" w:lineRule="auto"/>
        <w:ind w:left="426" w:hanging="426"/>
        <w:contextualSpacing/>
        <w:jc w:val="both"/>
      </w:pPr>
      <w:r>
        <w:rPr>
          <w:rFonts w:ascii="Times New Roman" w:hAnsi="Times New Roman" w:cs="Times New Roman"/>
        </w:rPr>
        <w:t xml:space="preserve">§ 1 </w:t>
      </w:r>
      <w:r>
        <w:rPr>
          <w:rFonts w:ascii="Times New Roman" w:hAnsi="Times New Roman" w:cs="Times New Roman"/>
        </w:rPr>
        <w:tab/>
        <w:t>Przyjmuje się do realizacji</w:t>
      </w:r>
      <w:r>
        <w:rPr>
          <w:rFonts w:ascii="Times New Roman" w:hAnsi="Times New Roman" w:cs="Times New Roman"/>
        </w:rPr>
        <w:t xml:space="preserve"> Program Osłonowy „Korpus Wsparcia Seniorów” dla Gminy Szczytno na rok 2025 stanowiący załącznik nr 1 do niniejszej uchwały.</w:t>
      </w:r>
    </w:p>
    <w:p w14:paraId="471AA456" w14:textId="77777777" w:rsidR="00C261BC" w:rsidRDefault="00C261BC">
      <w:pPr>
        <w:tabs>
          <w:tab w:val="left" w:pos="426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14:paraId="641F5B59" w14:textId="77777777" w:rsidR="00C261BC" w:rsidRDefault="002C54CD">
      <w:pPr>
        <w:tabs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§ 2 Wykonanie uchwały powierza się Wójtowi Gminy Szczytno.</w:t>
      </w:r>
    </w:p>
    <w:p w14:paraId="22004997" w14:textId="77777777" w:rsidR="00C261BC" w:rsidRDefault="00C261BC">
      <w:pPr>
        <w:tabs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14:paraId="0013DAAF" w14:textId="77777777" w:rsidR="00C261BC" w:rsidRDefault="002C54CD">
      <w:pPr>
        <w:tabs>
          <w:tab w:val="left" w:pos="426"/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§ 3 </w:t>
      </w:r>
      <w:r>
        <w:rPr>
          <w:rFonts w:ascii="Times New Roman" w:hAnsi="Times New Roman" w:cs="Times New Roman"/>
          <w:color w:val="000000" w:themeColor="text1"/>
        </w:rPr>
        <w:t>U</w:t>
      </w:r>
      <w:r>
        <w:rPr>
          <w:rFonts w:ascii="Times New Roman" w:hAnsi="Times New Roman" w:cs="Times New Roman"/>
          <w:color w:val="000000" w:themeColor="text1"/>
        </w:rPr>
        <w:t>chwała wchodzi w życie z dniem podjęcia.</w:t>
      </w:r>
    </w:p>
    <w:p w14:paraId="14B9213A" w14:textId="77777777" w:rsidR="00C261BC" w:rsidRDefault="00C261BC">
      <w:pPr>
        <w:tabs>
          <w:tab w:val="left" w:pos="426"/>
          <w:tab w:val="left" w:pos="567"/>
        </w:tabs>
        <w:spacing w:beforeAutospacing="1" w:afterAutospacing="1" w:line="360" w:lineRule="auto"/>
        <w:ind w:left="426" w:hanging="426"/>
        <w:contextualSpacing/>
        <w:jc w:val="both"/>
        <w:rPr>
          <w:rFonts w:ascii="Times New Roman" w:hAnsi="Times New Roman"/>
        </w:rPr>
      </w:pPr>
    </w:p>
    <w:p w14:paraId="1D3C63A6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0C79391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374F525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68ED739E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787952E1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616D83D0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4166A8FD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1A6DD75E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2EBE261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2E5863AE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FF4C5C9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3C5463A5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C7F908E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14D9425F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6DD4057C" w14:textId="77777777" w:rsidR="00C261BC" w:rsidRDefault="00C261BC">
      <w:pPr>
        <w:spacing w:beforeAutospacing="1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79E3511E" w14:textId="77777777" w:rsidR="00C261BC" w:rsidRDefault="002C54CD">
      <w:pPr>
        <w:spacing w:beforeAutospacing="1" w:afterAutospacing="1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UZASADNIENIE</w:t>
      </w:r>
    </w:p>
    <w:p w14:paraId="20ABDB78" w14:textId="77777777" w:rsidR="00C261BC" w:rsidRDefault="002C54CD">
      <w:pPr>
        <w:pStyle w:val="Default"/>
        <w:spacing w:after="149" w:line="360" w:lineRule="auto"/>
        <w:ind w:left="360"/>
        <w:jc w:val="both"/>
      </w:pPr>
      <w:r>
        <w:rPr>
          <w:sz w:val="22"/>
        </w:rPr>
        <w:t xml:space="preserve">Program “Korpus Wsparcia Seniorów” na rok 2025 jest programem osłonowym w rozumieniu art. 17 ust. 2 pkt 4 ustawy z dnia 12 marca o pomocy społecznej (Dz. U. z 2024 r. poz. 1283 z późn. zm.), tj. podejmowanie </w:t>
      </w:r>
      <w:r>
        <w:rPr>
          <w:sz w:val="22"/>
        </w:rPr>
        <w:t>innych zadań z zakresu pomocy społecznej, wynikających z rozeznanych potrzeb gminy. Do zadań tych zaliczyć należy działania na rzecz seniorów.</w:t>
      </w:r>
      <w:r>
        <w:rPr>
          <w:rFonts w:cs="Times New Roman"/>
          <w:sz w:val="22"/>
        </w:rPr>
        <w:t xml:space="preserve"> Program </w:t>
      </w:r>
      <w:r>
        <w:rPr>
          <w:sz w:val="22"/>
        </w:rPr>
        <w:t xml:space="preserve">Osłonowy „Korpus Wsparcia Seniorów” zaplanowany do realizacji w 2025 r. skierowany jest dla seniorów w wieku 60 lat i więcej zamieszkujących samotnie (lub z osobami bliskimi, które nie są w stanie zapewnić im wystarczającego wsparcia) na terenie Gminy Szczytno, mających problemy z samodzielnym funkcjonowaniem ze względu na stan zdrowia. Beneficjenci Programu </w:t>
      </w:r>
      <w:r>
        <w:rPr>
          <w:sz w:val="22"/>
        </w:rPr>
        <w:t>objęci zostaną stałą opieką na odległość za pomocą noszonej na nadgarstku elektronicznej opaski (</w:t>
      </w:r>
      <w:proofErr w:type="spellStart"/>
      <w:r>
        <w:rPr>
          <w:sz w:val="22"/>
        </w:rPr>
        <w:t>teleopieka</w:t>
      </w:r>
      <w:proofErr w:type="spellEnd"/>
      <w:r>
        <w:rPr>
          <w:sz w:val="22"/>
        </w:rPr>
        <w:t>). Dzięki realizacji Modułu II Programu „Korpus Wsparcia Seniorów” na rok 2025, gmina wprowadzi całodobową opiekę na odległość dla 20 mieszkańców w wieku 60+. Przełoży się to na wzrost bezpieczeństwa seniorów w miejscu ich zamieszkania, co ma bardzo duże znaczenie w przypadku osób mieszkających samotnie.</w:t>
      </w:r>
    </w:p>
    <w:p w14:paraId="7C0F4FE6" w14:textId="77777777" w:rsidR="00C261BC" w:rsidRDefault="002C54CD">
      <w:pPr>
        <w:pStyle w:val="Default"/>
        <w:spacing w:after="149" w:line="360" w:lineRule="auto"/>
        <w:ind w:left="360"/>
        <w:jc w:val="both"/>
      </w:pPr>
      <w:r>
        <w:rPr>
          <w:rFonts w:cs="Times New Roman"/>
          <w:sz w:val="22"/>
        </w:rPr>
        <w:t>Biorąc pod uwagę powyższe, podjęcie niniejszej uchwały jest zasadne.</w:t>
      </w:r>
    </w:p>
    <w:p w14:paraId="72792B6E" w14:textId="77777777" w:rsidR="00C261BC" w:rsidRDefault="00C261BC">
      <w:pPr>
        <w:spacing w:beforeAutospacing="1" w:afterAutospacing="1"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C261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BC"/>
    <w:rsid w:val="000A78DA"/>
    <w:rsid w:val="002C54CD"/>
    <w:rsid w:val="00C2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5316"/>
  <w15:docId w15:val="{4A15A9D5-6984-4E3F-930E-27D6611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D5876"/>
    <w:pPr>
      <w:ind w:left="720"/>
      <w:contextualSpacing/>
    </w:p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XIII/143/2025 Rady Gminy Jasło z dnia 29 stycznia 2025 r. w sprawie przyjęcia Gminnego Programu Osłonowego „Korpus Wsparcia Seniorów” na rok 2025 w Gminie Jasło</dc:title>
  <dc:subject>Uchwała Nr XIII/143/2025 z dnia 29 stycznia 2025 r. Rady Gminy Jasło w sprawie przyjęcia Gminnego Programu Osłonowego „Korpus Wsparcia Seniorów” na rok 2025 w Gminie Jasło</dc:subject>
  <dc:creator>Izabela Kujawa</dc:creator>
  <dc:description/>
  <cp:lastModifiedBy>User</cp:lastModifiedBy>
  <cp:revision>2</cp:revision>
  <cp:lastPrinted>2025-01-23T13:21:00Z</cp:lastPrinted>
  <dcterms:created xsi:type="dcterms:W3CDTF">2025-02-17T14:09:00Z</dcterms:created>
  <dcterms:modified xsi:type="dcterms:W3CDTF">2025-02-17T14:09:00Z</dcterms:modified>
  <dc:language>pl-PL</dc:language>
</cp:coreProperties>
</file>